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A18C3" w14:textId="2FB25984" w:rsidR="002B3A2E" w:rsidRDefault="002B3A2E" w:rsidP="002B3A2E">
      <w:pPr>
        <w:rPr>
          <w:rFonts w:ascii="Times New Roman" w:hAnsi="Times New Roman"/>
        </w:rPr>
      </w:pPr>
      <w:r>
        <w:rPr>
          <w:rFonts w:ascii="Times New Roman" w:hAnsi="Times New Roman"/>
        </w:rPr>
        <w:t>Ju</w:t>
      </w:r>
      <w:r w:rsidR="004570D9">
        <w:rPr>
          <w:rFonts w:ascii="Times New Roman" w:hAnsi="Times New Roman"/>
        </w:rPr>
        <w:t>ly</w:t>
      </w:r>
      <w:r>
        <w:rPr>
          <w:rFonts w:ascii="Times New Roman" w:hAnsi="Times New Roman"/>
        </w:rPr>
        <w:t xml:space="preserve"> </w:t>
      </w:r>
      <w:r w:rsidR="00F53202">
        <w:rPr>
          <w:rFonts w:ascii="Times New Roman" w:hAnsi="Times New Roman"/>
        </w:rPr>
        <w:t>20</w:t>
      </w:r>
      <w:r>
        <w:rPr>
          <w:rFonts w:ascii="Times New Roman" w:hAnsi="Times New Roman"/>
        </w:rPr>
        <w:t>, 2020</w:t>
      </w:r>
    </w:p>
    <w:p w14:paraId="5154DED5" w14:textId="77777777" w:rsidR="002B3A2E" w:rsidRDefault="002B3A2E" w:rsidP="002B3A2E">
      <w:pPr>
        <w:rPr>
          <w:rFonts w:ascii="Times New Roman" w:hAnsi="Times New Roman"/>
          <w:sz w:val="22"/>
          <w:szCs w:val="22"/>
        </w:rPr>
      </w:pPr>
    </w:p>
    <w:p w14:paraId="3FF58418" w14:textId="266F0AF4" w:rsidR="002B3A2E" w:rsidRDefault="002B3A2E" w:rsidP="002B3A2E">
      <w:pPr>
        <w:rPr>
          <w:rFonts w:ascii="Times New Roman" w:hAnsi="Times New Roman"/>
        </w:rPr>
      </w:pPr>
      <w:bookmarkStart w:id="0" w:name="_Hlk45783402"/>
      <w:r>
        <w:rPr>
          <w:rFonts w:ascii="Times New Roman" w:hAnsi="Times New Roman"/>
        </w:rPr>
        <w:t>The Honorable Steve</w:t>
      </w:r>
      <w:r w:rsidR="00834973">
        <w:rPr>
          <w:rFonts w:ascii="Times New Roman" w:hAnsi="Times New Roman"/>
        </w:rPr>
        <w:t>n</w:t>
      </w:r>
      <w:r>
        <w:rPr>
          <w:rFonts w:ascii="Times New Roman" w:hAnsi="Times New Roman"/>
        </w:rPr>
        <w:t xml:space="preserve"> Mnuchin</w:t>
      </w:r>
    </w:p>
    <w:p w14:paraId="0D0403DE" w14:textId="20A81296" w:rsidR="00834973" w:rsidRDefault="00834973" w:rsidP="002B3A2E">
      <w:pPr>
        <w:rPr>
          <w:rFonts w:ascii="Times New Roman" w:hAnsi="Times New Roman"/>
        </w:rPr>
      </w:pPr>
      <w:r>
        <w:rPr>
          <w:rFonts w:ascii="Times New Roman" w:hAnsi="Times New Roman"/>
        </w:rPr>
        <w:t>Secretary of the Treasury</w:t>
      </w:r>
    </w:p>
    <w:p w14:paraId="48D96A14" w14:textId="77777777" w:rsidR="002B3A2E" w:rsidRDefault="002B3A2E" w:rsidP="002B3A2E">
      <w:pPr>
        <w:rPr>
          <w:rFonts w:ascii="Times New Roman" w:hAnsi="Times New Roman"/>
        </w:rPr>
      </w:pPr>
      <w:r>
        <w:rPr>
          <w:rFonts w:ascii="Times New Roman" w:hAnsi="Times New Roman"/>
        </w:rPr>
        <w:t>U.S. Department of Treasury</w:t>
      </w:r>
    </w:p>
    <w:p w14:paraId="57C7678B" w14:textId="67E06427" w:rsidR="002B3A2E" w:rsidRDefault="002B3A2E" w:rsidP="002B3A2E">
      <w:pPr>
        <w:rPr>
          <w:rFonts w:ascii="Times New Roman" w:hAnsi="Times New Roman"/>
        </w:rPr>
      </w:pPr>
      <w:r>
        <w:rPr>
          <w:rFonts w:ascii="Times New Roman" w:hAnsi="Times New Roman"/>
        </w:rPr>
        <w:t>500 Pennsylvania Ave</w:t>
      </w:r>
      <w:r w:rsidR="00834973">
        <w:rPr>
          <w:rFonts w:ascii="Times New Roman" w:hAnsi="Times New Roman"/>
        </w:rPr>
        <w:t>nue</w:t>
      </w:r>
      <w:r>
        <w:rPr>
          <w:rFonts w:ascii="Times New Roman" w:hAnsi="Times New Roman"/>
        </w:rPr>
        <w:t xml:space="preserve"> NW, </w:t>
      </w:r>
    </w:p>
    <w:p w14:paraId="17DC1704" w14:textId="77777777" w:rsidR="002B3A2E" w:rsidRDefault="002B3A2E" w:rsidP="002B3A2E">
      <w:pPr>
        <w:rPr>
          <w:rFonts w:ascii="Times New Roman" w:hAnsi="Times New Roman"/>
        </w:rPr>
      </w:pPr>
      <w:r>
        <w:rPr>
          <w:rFonts w:ascii="Times New Roman" w:hAnsi="Times New Roman"/>
        </w:rPr>
        <w:t>Washington, DC 20220</w:t>
      </w:r>
    </w:p>
    <w:p w14:paraId="716BADEC" w14:textId="77777777" w:rsidR="002B3A2E" w:rsidRDefault="002B3A2E" w:rsidP="002B3A2E">
      <w:pPr>
        <w:rPr>
          <w:rFonts w:ascii="Times New Roman" w:hAnsi="Times New Roman"/>
        </w:rPr>
      </w:pPr>
    </w:p>
    <w:p w14:paraId="4AFC1CC9" w14:textId="697FA5A8" w:rsidR="002B3A2E" w:rsidRDefault="002B3A2E" w:rsidP="002B3A2E">
      <w:pPr>
        <w:rPr>
          <w:rFonts w:ascii="Times New Roman" w:hAnsi="Times New Roman"/>
        </w:rPr>
      </w:pPr>
      <w:r>
        <w:rPr>
          <w:rFonts w:ascii="Times New Roman" w:hAnsi="Times New Roman"/>
        </w:rPr>
        <w:t xml:space="preserve">Dear </w:t>
      </w:r>
      <w:proofErr w:type="gramStart"/>
      <w:r w:rsidR="00834973">
        <w:rPr>
          <w:rFonts w:ascii="Times New Roman" w:hAnsi="Times New Roman"/>
        </w:rPr>
        <w:t>Secretary</w:t>
      </w:r>
      <w:proofErr w:type="gramEnd"/>
      <w:r w:rsidR="00834973">
        <w:rPr>
          <w:rFonts w:ascii="Times New Roman" w:hAnsi="Times New Roman"/>
        </w:rPr>
        <w:t xml:space="preserve"> </w:t>
      </w:r>
      <w:r>
        <w:rPr>
          <w:rFonts w:ascii="Times New Roman" w:hAnsi="Times New Roman"/>
        </w:rPr>
        <w:t>Mnuchin:</w:t>
      </w:r>
    </w:p>
    <w:p w14:paraId="44E93425" w14:textId="77777777" w:rsidR="002B3A2E" w:rsidRDefault="002B3A2E" w:rsidP="002B3A2E">
      <w:pPr>
        <w:rPr>
          <w:rFonts w:ascii="Times New Roman" w:hAnsi="Times New Roman"/>
        </w:rPr>
      </w:pPr>
    </w:p>
    <w:p w14:paraId="41824336" w14:textId="208E2360" w:rsidR="002B3A2E" w:rsidRPr="00D324CD" w:rsidRDefault="002B3A2E" w:rsidP="002B3A2E">
      <w:pPr>
        <w:ind w:firstLine="720"/>
        <w:rPr>
          <w:rFonts w:ascii="Times New Roman" w:hAnsi="Times New Roman"/>
        </w:rPr>
      </w:pPr>
      <w:r>
        <w:rPr>
          <w:rFonts w:ascii="Times New Roman" w:hAnsi="Times New Roman"/>
        </w:rPr>
        <w:t>The IPA</w:t>
      </w:r>
      <w:r>
        <w:rPr>
          <w:rStyle w:val="FootnoteReference"/>
          <w:rFonts w:ascii="Times New Roman" w:hAnsi="Times New Roman"/>
        </w:rPr>
        <w:footnoteReference w:id="1"/>
      </w:r>
      <w:r>
        <w:rPr>
          <w:rFonts w:ascii="Times New Roman" w:hAnsi="Times New Roman"/>
        </w:rPr>
        <w:t xml:space="preserve"> would like to thank you for your leadership </w:t>
      </w:r>
      <w:r w:rsidR="005B1B79">
        <w:rPr>
          <w:rFonts w:ascii="Times New Roman" w:hAnsi="Times New Roman"/>
        </w:rPr>
        <w:t>in</w:t>
      </w:r>
      <w:r>
        <w:rPr>
          <w:rFonts w:ascii="Times New Roman" w:hAnsi="Times New Roman"/>
        </w:rPr>
        <w:t xml:space="preserve"> helping individual Americans, small businesses, and others navigate the effects of the COVID-19 pandemic. </w:t>
      </w:r>
      <w:r w:rsidRPr="00D324CD">
        <w:rPr>
          <w:rFonts w:ascii="Times New Roman" w:eastAsia="Calibri" w:hAnsi="Times New Roman"/>
        </w:rPr>
        <w:t xml:space="preserve">Moreover, the IPA </w:t>
      </w:r>
      <w:r w:rsidRPr="00D324CD">
        <w:rPr>
          <w:rFonts w:ascii="Times New Roman" w:hAnsi="Times New Roman"/>
        </w:rPr>
        <w:t>commend</w:t>
      </w:r>
      <w:r>
        <w:rPr>
          <w:rFonts w:ascii="Times New Roman" w:hAnsi="Times New Roman"/>
        </w:rPr>
        <w:t>s</w:t>
      </w:r>
      <w:r w:rsidRPr="00D324CD">
        <w:rPr>
          <w:rFonts w:ascii="Times New Roman" w:hAnsi="Times New Roman"/>
        </w:rPr>
        <w:t xml:space="preserve"> the unsung heroes who work at </w:t>
      </w:r>
      <w:r w:rsidRPr="00D324CD">
        <w:rPr>
          <w:rFonts w:ascii="Times New Roman" w:eastAsia="Calibri" w:hAnsi="Times New Roman"/>
        </w:rPr>
        <w:t xml:space="preserve">the </w:t>
      </w:r>
      <w:r>
        <w:rPr>
          <w:rFonts w:ascii="Times New Roman" w:eastAsia="Calibri" w:hAnsi="Times New Roman"/>
        </w:rPr>
        <w:t>D</w:t>
      </w:r>
      <w:r w:rsidRPr="00D324CD">
        <w:rPr>
          <w:rFonts w:ascii="Times New Roman" w:eastAsia="Calibri" w:hAnsi="Times New Roman"/>
        </w:rPr>
        <w:t>epartment of Treasury</w:t>
      </w:r>
      <w:r w:rsidRPr="00D324CD">
        <w:rPr>
          <w:rFonts w:ascii="Times New Roman" w:hAnsi="Times New Roman"/>
        </w:rPr>
        <w:t xml:space="preserve"> </w:t>
      </w:r>
      <w:r>
        <w:rPr>
          <w:rFonts w:ascii="Times New Roman" w:hAnsi="Times New Roman"/>
        </w:rPr>
        <w:t>(</w:t>
      </w:r>
      <w:r w:rsidRPr="00D324CD">
        <w:rPr>
          <w:rFonts w:ascii="Times New Roman" w:hAnsi="Times New Roman"/>
        </w:rPr>
        <w:t>Treasury</w:t>
      </w:r>
      <w:r>
        <w:rPr>
          <w:rFonts w:ascii="Times New Roman" w:hAnsi="Times New Roman"/>
        </w:rPr>
        <w:t>)</w:t>
      </w:r>
      <w:r w:rsidRPr="00D324CD">
        <w:rPr>
          <w:rFonts w:ascii="Times New Roman" w:hAnsi="Times New Roman"/>
        </w:rPr>
        <w:t xml:space="preserve">, the </w:t>
      </w:r>
      <w:r>
        <w:rPr>
          <w:rFonts w:ascii="Times New Roman" w:hAnsi="Times New Roman"/>
        </w:rPr>
        <w:t>Internal Revenue Service (</w:t>
      </w:r>
      <w:r w:rsidRPr="00D324CD">
        <w:rPr>
          <w:rFonts w:ascii="Times New Roman" w:hAnsi="Times New Roman"/>
        </w:rPr>
        <w:t>IRS</w:t>
      </w:r>
      <w:r>
        <w:rPr>
          <w:rFonts w:ascii="Times New Roman" w:hAnsi="Times New Roman"/>
        </w:rPr>
        <w:t>)</w:t>
      </w:r>
      <w:r w:rsidRPr="00D324CD">
        <w:rPr>
          <w:rFonts w:ascii="Times New Roman" w:hAnsi="Times New Roman"/>
        </w:rPr>
        <w:t xml:space="preserve">, and the Bureau of Fiscal Service (BFS) for accepting the seemingly impossible and unprecedented challenge of distributing nearly $250 billion </w:t>
      </w:r>
      <w:r w:rsidR="00F53202">
        <w:rPr>
          <w:rFonts w:ascii="Times New Roman" w:hAnsi="Times New Roman"/>
        </w:rPr>
        <w:t xml:space="preserve">in </w:t>
      </w:r>
      <w:r w:rsidRPr="00D324CD">
        <w:rPr>
          <w:rFonts w:ascii="Times New Roman" w:hAnsi="Times New Roman"/>
        </w:rPr>
        <w:t xml:space="preserve">Economic Impact Payments (EIP) authorized by the CARES Act in less than two months.  </w:t>
      </w:r>
    </w:p>
    <w:p w14:paraId="3D594B4E" w14:textId="77777777" w:rsidR="002B3A2E" w:rsidRPr="00D324CD" w:rsidRDefault="002B3A2E" w:rsidP="002B3A2E">
      <w:pPr>
        <w:ind w:firstLine="720"/>
        <w:jc w:val="both"/>
        <w:rPr>
          <w:rFonts w:ascii="Times New Roman" w:eastAsia="Calibri" w:hAnsi="Times New Roman"/>
        </w:rPr>
      </w:pPr>
    </w:p>
    <w:p w14:paraId="6A46877B" w14:textId="07EFE64E" w:rsidR="004C56F9" w:rsidRDefault="004C56F9" w:rsidP="004C56F9">
      <w:pPr>
        <w:ind w:firstLine="720"/>
        <w:rPr>
          <w:rFonts w:ascii="Times New Roman" w:hAnsi="Times New Roman"/>
        </w:rPr>
      </w:pPr>
      <w:r>
        <w:rPr>
          <w:rFonts w:ascii="Times New Roman" w:hAnsi="Times New Roman"/>
        </w:rPr>
        <w:t>Looking ahead, t</w:t>
      </w:r>
      <w:r w:rsidRPr="00D324CD">
        <w:rPr>
          <w:rFonts w:ascii="Times New Roman" w:hAnsi="Times New Roman"/>
        </w:rPr>
        <w:t xml:space="preserve">he IPA recognizes that Congress may </w:t>
      </w:r>
      <w:r>
        <w:rPr>
          <w:rFonts w:ascii="Times New Roman" w:hAnsi="Times New Roman"/>
        </w:rPr>
        <w:t>decide that</w:t>
      </w:r>
      <w:r w:rsidRPr="00D324CD">
        <w:rPr>
          <w:rFonts w:ascii="Times New Roman" w:hAnsi="Times New Roman"/>
        </w:rPr>
        <w:t xml:space="preserve"> another round of direct relief </w:t>
      </w:r>
      <w:proofErr w:type="gramStart"/>
      <w:r w:rsidRPr="00D324CD">
        <w:rPr>
          <w:rFonts w:ascii="Times New Roman" w:hAnsi="Times New Roman"/>
        </w:rPr>
        <w:t>payments</w:t>
      </w:r>
      <w:proofErr w:type="gramEnd"/>
      <w:r w:rsidRPr="00D324CD">
        <w:rPr>
          <w:rFonts w:ascii="Times New Roman" w:hAnsi="Times New Roman"/>
        </w:rPr>
        <w:t xml:space="preserve"> to individuals is appropriate. If that does occur</w:t>
      </w:r>
      <w:r w:rsidR="00F53202">
        <w:rPr>
          <w:rFonts w:ascii="Times New Roman" w:hAnsi="Times New Roman"/>
        </w:rPr>
        <w:t>,</w:t>
      </w:r>
      <w:r>
        <w:rPr>
          <w:rFonts w:ascii="Times New Roman" w:hAnsi="Times New Roman"/>
        </w:rPr>
        <w:t xml:space="preserve"> </w:t>
      </w:r>
      <w:r w:rsidRPr="00D324CD">
        <w:rPr>
          <w:rFonts w:ascii="Times New Roman" w:hAnsi="Times New Roman"/>
        </w:rPr>
        <w:t xml:space="preserve">the prepaid industry stands ready to ensure that relief payments make </w:t>
      </w:r>
      <w:r w:rsidR="005B1B79">
        <w:rPr>
          <w:rFonts w:ascii="Times New Roman" w:hAnsi="Times New Roman"/>
        </w:rPr>
        <w:t xml:space="preserve">it </w:t>
      </w:r>
      <w:r w:rsidRPr="00D324CD">
        <w:rPr>
          <w:rFonts w:ascii="Times New Roman" w:hAnsi="Times New Roman"/>
        </w:rPr>
        <w:t xml:space="preserve">into the hands of Americans quickly, securely, and conveniently. </w:t>
      </w:r>
    </w:p>
    <w:p w14:paraId="57EDF9B1" w14:textId="77777777" w:rsidR="004C56F9" w:rsidRDefault="004C56F9" w:rsidP="004C56F9">
      <w:pPr>
        <w:ind w:firstLine="720"/>
        <w:rPr>
          <w:rFonts w:ascii="Times New Roman" w:hAnsi="Times New Roman"/>
        </w:rPr>
      </w:pPr>
    </w:p>
    <w:p w14:paraId="4722C917" w14:textId="4AD7298B" w:rsidR="004C56F9" w:rsidRDefault="004C56F9" w:rsidP="004C56F9">
      <w:pPr>
        <w:ind w:firstLine="720"/>
        <w:rPr>
          <w:rFonts w:ascii="Times New Roman" w:hAnsi="Times New Roman"/>
        </w:rPr>
      </w:pPr>
      <w:r>
        <w:rPr>
          <w:rFonts w:ascii="Times New Roman" w:hAnsi="Times New Roman"/>
        </w:rPr>
        <w:t xml:space="preserve">Accordingly, the IPA also respectfully requests that Treasury and IRS again utilize all available </w:t>
      </w:r>
      <w:r w:rsidR="001A487E">
        <w:rPr>
          <w:rFonts w:ascii="Times New Roman" w:hAnsi="Times New Roman"/>
        </w:rPr>
        <w:t>resources</w:t>
      </w:r>
      <w:r>
        <w:rPr>
          <w:rFonts w:ascii="Times New Roman" w:hAnsi="Times New Roman"/>
        </w:rPr>
        <w:t>, including, existing government disbursement programs (</w:t>
      </w:r>
      <w:hyperlink r:id="rId8" w:history="1">
        <w:r w:rsidRPr="003246CC">
          <w:rPr>
            <w:rStyle w:val="Hyperlink"/>
            <w:rFonts w:ascii="Times New Roman" w:hAnsi="Times New Roman"/>
          </w:rPr>
          <w:t>Direct Express</w:t>
        </w:r>
      </w:hyperlink>
      <w:r>
        <w:rPr>
          <w:rFonts w:ascii="Times New Roman" w:hAnsi="Times New Roman"/>
        </w:rPr>
        <w:t xml:space="preserve">, </w:t>
      </w:r>
      <w:hyperlink r:id="rId9" w:anchor=":~:text=Vendor%20Payment%20Guidance-,U.S.%20Debit%20Card,debit%20card%20for%20the%20payee." w:history="1">
        <w:r w:rsidRPr="00882694">
          <w:rPr>
            <w:rStyle w:val="Hyperlink"/>
            <w:rFonts w:ascii="Times New Roman" w:hAnsi="Times New Roman"/>
          </w:rPr>
          <w:t>U.S. Debit</w:t>
        </w:r>
      </w:hyperlink>
      <w:r>
        <w:rPr>
          <w:rFonts w:ascii="Times New Roman" w:hAnsi="Times New Roman"/>
        </w:rPr>
        <w:t xml:space="preserve">) as well as online portals </w:t>
      </w:r>
      <w:r w:rsidR="004570D9">
        <w:rPr>
          <w:rFonts w:ascii="Times New Roman" w:hAnsi="Times New Roman"/>
        </w:rPr>
        <w:t>(</w:t>
      </w:r>
      <w:hyperlink r:id="rId10" w:history="1">
        <w:r w:rsidR="004570D9">
          <w:rPr>
            <w:rStyle w:val="Hyperlink"/>
            <w:rFonts w:ascii="Times New Roman" w:hAnsi="Times New Roman"/>
          </w:rPr>
          <w:t>Non-Filers</w:t>
        </w:r>
      </w:hyperlink>
      <w:r w:rsidR="004570D9">
        <w:rPr>
          <w:rFonts w:ascii="Times New Roman" w:hAnsi="Times New Roman"/>
        </w:rPr>
        <w:t xml:space="preserve"> and </w:t>
      </w:r>
      <w:hyperlink r:id="rId11" w:history="1">
        <w:r w:rsidR="004570D9">
          <w:rPr>
            <w:rStyle w:val="Hyperlink"/>
            <w:rFonts w:ascii="Times New Roman" w:hAnsi="Times New Roman"/>
          </w:rPr>
          <w:t>Get My Payment</w:t>
        </w:r>
      </w:hyperlink>
      <w:r w:rsidR="004570D9">
        <w:rPr>
          <w:rFonts w:ascii="Times New Roman" w:hAnsi="Times New Roman"/>
        </w:rPr>
        <w:t xml:space="preserve">) </w:t>
      </w:r>
      <w:r>
        <w:rPr>
          <w:rFonts w:ascii="Times New Roman" w:hAnsi="Times New Roman"/>
        </w:rPr>
        <w:t xml:space="preserve">which are easily accessible to the general public. </w:t>
      </w:r>
      <w:r w:rsidR="004570D9">
        <w:rPr>
          <w:rFonts w:ascii="Times New Roman" w:hAnsi="Times New Roman"/>
        </w:rPr>
        <w:t xml:space="preserve">Collectively, these programs </w:t>
      </w:r>
      <w:r w:rsidR="004D184F">
        <w:rPr>
          <w:rFonts w:ascii="Times New Roman" w:hAnsi="Times New Roman"/>
        </w:rPr>
        <w:t>enabled</w:t>
      </w:r>
      <w:r>
        <w:rPr>
          <w:rFonts w:ascii="Times New Roman" w:hAnsi="Times New Roman"/>
        </w:rPr>
        <w:t xml:space="preserve"> millions of Americans to </w:t>
      </w:r>
      <w:r w:rsidR="004570D9">
        <w:rPr>
          <w:rFonts w:ascii="Times New Roman" w:hAnsi="Times New Roman"/>
        </w:rPr>
        <w:t xml:space="preserve">receive payments directly or to </w:t>
      </w:r>
      <w:r>
        <w:rPr>
          <w:rFonts w:ascii="Times New Roman" w:hAnsi="Times New Roman"/>
        </w:rPr>
        <w:t>register their bank accounts (checking, savings, and prepaid</w:t>
      </w:r>
      <w:r w:rsidR="008B4BAD">
        <w:rPr>
          <w:rStyle w:val="FootnoteReference"/>
          <w:rFonts w:ascii="Times New Roman" w:hAnsi="Times New Roman"/>
        </w:rPr>
        <w:footnoteReference w:id="2"/>
      </w:r>
      <w:r>
        <w:rPr>
          <w:rFonts w:ascii="Times New Roman" w:hAnsi="Times New Roman"/>
        </w:rPr>
        <w:t>) with the IRS so</w:t>
      </w:r>
      <w:r w:rsidR="00F53202">
        <w:rPr>
          <w:rFonts w:ascii="Times New Roman" w:hAnsi="Times New Roman"/>
        </w:rPr>
        <w:t xml:space="preserve"> they</w:t>
      </w:r>
      <w:r>
        <w:rPr>
          <w:rFonts w:ascii="Times New Roman" w:hAnsi="Times New Roman"/>
        </w:rPr>
        <w:t xml:space="preserve"> could receive their EIP electronically. We believe that disbursing emergency support funds through as many channels as possible will help reduce the burden on the federal government and increase the velocity in which payments make their way into </w:t>
      </w:r>
      <w:r w:rsidR="00DB28F5">
        <w:rPr>
          <w:rFonts w:ascii="Times New Roman" w:hAnsi="Times New Roman"/>
        </w:rPr>
        <w:t xml:space="preserve">eligible </w:t>
      </w:r>
      <w:r w:rsidR="008E43AD">
        <w:rPr>
          <w:rFonts w:ascii="Times New Roman" w:hAnsi="Times New Roman"/>
        </w:rPr>
        <w:t>recipients’</w:t>
      </w:r>
      <w:r>
        <w:rPr>
          <w:rFonts w:ascii="Times New Roman" w:hAnsi="Times New Roman"/>
        </w:rPr>
        <w:t xml:space="preserve"> accounts.  </w:t>
      </w:r>
    </w:p>
    <w:p w14:paraId="034347B6" w14:textId="77777777" w:rsidR="004C56F9" w:rsidRDefault="004C56F9" w:rsidP="002B3A2E">
      <w:pPr>
        <w:ind w:firstLine="720"/>
        <w:jc w:val="both"/>
        <w:rPr>
          <w:rFonts w:ascii="Times New Roman" w:eastAsia="Calibri" w:hAnsi="Times New Roman"/>
        </w:rPr>
      </w:pPr>
    </w:p>
    <w:p w14:paraId="091AD142" w14:textId="33C191AB" w:rsidR="002B3A2E" w:rsidRDefault="002B3A2E" w:rsidP="004C56F9">
      <w:pPr>
        <w:ind w:firstLine="720"/>
        <w:rPr>
          <w:rFonts w:ascii="Times New Roman" w:hAnsi="Times New Roman"/>
        </w:rPr>
      </w:pPr>
      <w:r>
        <w:rPr>
          <w:rFonts w:ascii="Times New Roman" w:hAnsi="Times New Roman"/>
        </w:rPr>
        <w:t xml:space="preserve">In conclusion, </w:t>
      </w:r>
      <w:r w:rsidR="00C97C88">
        <w:rPr>
          <w:rFonts w:ascii="Times New Roman" w:hAnsi="Times New Roman"/>
        </w:rPr>
        <w:t>w</w:t>
      </w:r>
      <w:r w:rsidR="00C97C88" w:rsidRPr="00171897">
        <w:rPr>
          <w:rFonts w:ascii="Times New Roman" w:hAnsi="Times New Roman"/>
        </w:rPr>
        <w:t xml:space="preserve">e appreciate your leadership during this </w:t>
      </w:r>
      <w:r w:rsidR="00C97C88">
        <w:rPr>
          <w:rFonts w:ascii="Times New Roman" w:hAnsi="Times New Roman"/>
        </w:rPr>
        <w:t xml:space="preserve">extraordinarily </w:t>
      </w:r>
      <w:r w:rsidR="00C97C88" w:rsidRPr="00171897">
        <w:rPr>
          <w:rFonts w:ascii="Times New Roman" w:hAnsi="Times New Roman"/>
        </w:rPr>
        <w:t>challenging time</w:t>
      </w:r>
      <w:r w:rsidR="00C97C88">
        <w:rPr>
          <w:rFonts w:ascii="Times New Roman" w:hAnsi="Times New Roman"/>
        </w:rPr>
        <w:t>,</w:t>
      </w:r>
      <w:r w:rsidR="00C97C88" w:rsidRPr="00171897">
        <w:rPr>
          <w:rFonts w:ascii="Times New Roman" w:hAnsi="Times New Roman"/>
        </w:rPr>
        <w:t xml:space="preserve"> and </w:t>
      </w:r>
      <w:r w:rsidR="00C97C88">
        <w:rPr>
          <w:rFonts w:ascii="Times New Roman" w:hAnsi="Times New Roman"/>
        </w:rPr>
        <w:t xml:space="preserve">the payments community stands ready to </w:t>
      </w:r>
      <w:r w:rsidR="00C97C88" w:rsidRPr="00171897">
        <w:rPr>
          <w:rFonts w:ascii="Times New Roman" w:hAnsi="Times New Roman"/>
        </w:rPr>
        <w:t xml:space="preserve">work with </w:t>
      </w:r>
      <w:r w:rsidR="00C97C88">
        <w:rPr>
          <w:rFonts w:ascii="Times New Roman" w:hAnsi="Times New Roman"/>
        </w:rPr>
        <w:t xml:space="preserve">the </w:t>
      </w:r>
      <w:r w:rsidR="004570D9">
        <w:rPr>
          <w:rFonts w:ascii="Times New Roman" w:hAnsi="Times New Roman"/>
        </w:rPr>
        <w:t xml:space="preserve">Treasury </w:t>
      </w:r>
      <w:r w:rsidR="00C97C88">
        <w:rPr>
          <w:rFonts w:ascii="Times New Roman" w:hAnsi="Times New Roman"/>
        </w:rPr>
        <w:t>Department</w:t>
      </w:r>
      <w:r w:rsidR="004570D9">
        <w:rPr>
          <w:rFonts w:ascii="Times New Roman" w:hAnsi="Times New Roman"/>
        </w:rPr>
        <w:t xml:space="preserve"> and the IRS</w:t>
      </w:r>
      <w:r w:rsidR="00C97C88" w:rsidRPr="00171897">
        <w:rPr>
          <w:rFonts w:ascii="Times New Roman" w:hAnsi="Times New Roman"/>
        </w:rPr>
        <w:t xml:space="preserve"> to </w:t>
      </w:r>
      <w:r w:rsidR="00C97C88" w:rsidRPr="00171897">
        <w:rPr>
          <w:rFonts w:ascii="Times New Roman" w:hAnsi="Times New Roman"/>
        </w:rPr>
        <w:lastRenderedPageBreak/>
        <w:t xml:space="preserve">help American consumers </w:t>
      </w:r>
      <w:r w:rsidR="00C97C88">
        <w:rPr>
          <w:rFonts w:ascii="Times New Roman" w:hAnsi="Times New Roman"/>
        </w:rPr>
        <w:t>receive their</w:t>
      </w:r>
      <w:r w:rsidR="004570D9">
        <w:rPr>
          <w:rFonts w:ascii="Times New Roman" w:hAnsi="Times New Roman"/>
        </w:rPr>
        <w:t xml:space="preserve"> </w:t>
      </w:r>
      <w:r w:rsidR="00C97C88">
        <w:rPr>
          <w:rFonts w:ascii="Times New Roman" w:hAnsi="Times New Roman"/>
        </w:rPr>
        <w:t xml:space="preserve">relief funds </w:t>
      </w:r>
      <w:r w:rsidR="00C97C88" w:rsidRPr="00171897">
        <w:rPr>
          <w:rFonts w:ascii="Times New Roman" w:hAnsi="Times New Roman"/>
        </w:rPr>
        <w:t xml:space="preserve">as quickly as possible. </w:t>
      </w:r>
      <w:r>
        <w:rPr>
          <w:rFonts w:ascii="Times New Roman" w:hAnsi="Times New Roman"/>
        </w:rPr>
        <w:t xml:space="preserve">Thank you for your consideration. </w:t>
      </w:r>
    </w:p>
    <w:bookmarkEnd w:id="0"/>
    <w:p w14:paraId="64DA853D" w14:textId="77777777" w:rsidR="002B3A2E" w:rsidRDefault="002B3A2E" w:rsidP="002B3A2E">
      <w:pPr>
        <w:rPr>
          <w:rFonts w:ascii="Times New Roman" w:hAnsi="Times New Roman"/>
        </w:rPr>
      </w:pPr>
    </w:p>
    <w:p w14:paraId="2E365675" w14:textId="77777777" w:rsidR="002B3A2E" w:rsidRDefault="002B3A2E" w:rsidP="002B3A2E">
      <w:pPr>
        <w:rPr>
          <w:rFonts w:ascii="Times New Roman" w:hAnsi="Times New Roman"/>
        </w:rPr>
      </w:pPr>
      <w:r>
        <w:rPr>
          <w:rFonts w:ascii="Times New Roman" w:hAnsi="Times New Roman"/>
        </w:rPr>
        <w:t>Respectfully submitted,</w:t>
      </w:r>
    </w:p>
    <w:p w14:paraId="3A24C0AE" w14:textId="1AF8A52C" w:rsidR="00391CA9" w:rsidRDefault="00391CA9" w:rsidP="002B3A2E"/>
    <w:p w14:paraId="088D63A7" w14:textId="77777777" w:rsidR="008E43AD" w:rsidRPr="0068431C" w:rsidRDefault="008E43AD" w:rsidP="008E43AD">
      <w:pPr>
        <w:ind w:left="5040" w:hanging="5040"/>
        <w:jc w:val="both"/>
        <w:rPr>
          <w:rFonts w:ascii="Times New Roman" w:hAnsi="Times New Roman"/>
          <w:sz w:val="22"/>
          <w:szCs w:val="22"/>
        </w:rPr>
      </w:pPr>
    </w:p>
    <w:p w14:paraId="3334C0CE" w14:textId="77777777" w:rsidR="008E43AD" w:rsidRPr="0068431C" w:rsidRDefault="008E43AD" w:rsidP="008E43AD">
      <w:pPr>
        <w:ind w:left="5040" w:hanging="5040"/>
        <w:jc w:val="both"/>
        <w:rPr>
          <w:rFonts w:ascii="Times New Roman" w:hAnsi="Times New Roman"/>
          <w:sz w:val="22"/>
          <w:szCs w:val="22"/>
        </w:rPr>
      </w:pPr>
      <w:r w:rsidRPr="0068431C">
        <w:rPr>
          <w:rFonts w:ascii="Times New Roman" w:hAnsi="Times New Roman"/>
          <w:noProof/>
          <w:u w:val="single"/>
        </w:rPr>
        <w:drawing>
          <wp:inline distT="0" distB="0" distL="0" distR="0" wp14:anchorId="5EDDBFB4" wp14:editId="7C104523">
            <wp:extent cx="1546860" cy="594360"/>
            <wp:effectExtent l="0" t="0" r="0" b="0"/>
            <wp:docPr id="1" name="Picture 1" descr="C:\Users\Brad\AppData\Local\Microsoft\Windows\INetCache\Content.Word\Brian Tat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AppData\Local\Microsoft\Windows\INetCache\Content.Word\Brian Tate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6860" cy="594360"/>
                    </a:xfrm>
                    <a:prstGeom prst="rect">
                      <a:avLst/>
                    </a:prstGeom>
                    <a:noFill/>
                    <a:ln>
                      <a:noFill/>
                    </a:ln>
                  </pic:spPr>
                </pic:pic>
              </a:graphicData>
            </a:graphic>
          </wp:inline>
        </w:drawing>
      </w:r>
    </w:p>
    <w:p w14:paraId="09D56F16" w14:textId="77777777" w:rsidR="008E43AD" w:rsidRPr="0068431C" w:rsidRDefault="008E43AD" w:rsidP="008E43AD">
      <w:pPr>
        <w:ind w:left="5040" w:hanging="5040"/>
        <w:jc w:val="both"/>
        <w:rPr>
          <w:rFonts w:ascii="Times New Roman" w:hAnsi="Times New Roman"/>
          <w:sz w:val="22"/>
          <w:szCs w:val="22"/>
        </w:rPr>
      </w:pPr>
      <w:r w:rsidRPr="0068431C">
        <w:rPr>
          <w:rFonts w:ascii="Times New Roman" w:hAnsi="Times New Roman"/>
          <w:sz w:val="22"/>
          <w:szCs w:val="22"/>
        </w:rPr>
        <w:t>Brian Tate</w:t>
      </w:r>
    </w:p>
    <w:p w14:paraId="5C136712" w14:textId="77777777" w:rsidR="008E43AD" w:rsidRPr="0068431C" w:rsidRDefault="008E43AD" w:rsidP="008E43AD">
      <w:pPr>
        <w:ind w:left="5040" w:hanging="5040"/>
        <w:jc w:val="both"/>
        <w:rPr>
          <w:rFonts w:ascii="Times New Roman" w:hAnsi="Times New Roman"/>
          <w:sz w:val="22"/>
          <w:szCs w:val="22"/>
        </w:rPr>
      </w:pPr>
      <w:r w:rsidRPr="0068431C">
        <w:rPr>
          <w:rFonts w:ascii="Times New Roman" w:hAnsi="Times New Roman"/>
          <w:sz w:val="22"/>
          <w:szCs w:val="22"/>
        </w:rPr>
        <w:t>President and CEO</w:t>
      </w:r>
    </w:p>
    <w:p w14:paraId="6F6613B3" w14:textId="77777777" w:rsidR="008E43AD" w:rsidRPr="0068431C" w:rsidRDefault="008E43AD" w:rsidP="008E43AD">
      <w:pPr>
        <w:ind w:left="5040" w:hanging="5040"/>
        <w:jc w:val="both"/>
        <w:rPr>
          <w:rFonts w:ascii="Times New Roman" w:hAnsi="Times New Roman"/>
          <w:sz w:val="22"/>
          <w:szCs w:val="22"/>
        </w:rPr>
      </w:pPr>
      <w:r w:rsidRPr="0068431C">
        <w:rPr>
          <w:rFonts w:ascii="Times New Roman" w:hAnsi="Times New Roman"/>
          <w:sz w:val="22"/>
          <w:szCs w:val="22"/>
        </w:rPr>
        <w:t>IPA</w:t>
      </w:r>
    </w:p>
    <w:p w14:paraId="3A0EA507" w14:textId="77777777" w:rsidR="008E43AD" w:rsidRPr="0068431C" w:rsidRDefault="008E43AD" w:rsidP="008E43AD">
      <w:pPr>
        <w:ind w:left="5040" w:hanging="5040"/>
        <w:jc w:val="both"/>
        <w:rPr>
          <w:rFonts w:ascii="Times New Roman" w:hAnsi="Times New Roman"/>
        </w:rPr>
      </w:pPr>
      <w:r w:rsidRPr="0068431C">
        <w:rPr>
          <w:rFonts w:ascii="Times New Roman" w:hAnsi="Times New Roman"/>
          <w:sz w:val="22"/>
          <w:szCs w:val="22"/>
        </w:rPr>
        <w:t>(202) 507-6181</w:t>
      </w:r>
      <w:r w:rsidRPr="0068431C">
        <w:rPr>
          <w:rFonts w:ascii="Times New Roman" w:hAnsi="Times New Roman"/>
        </w:rPr>
        <w:t xml:space="preserve"> </w:t>
      </w:r>
    </w:p>
    <w:p w14:paraId="4FE537AA" w14:textId="77777777" w:rsidR="008E43AD" w:rsidRPr="002B3A2E" w:rsidRDefault="008E43AD" w:rsidP="002B3A2E"/>
    <w:sectPr w:rsidR="008E43AD" w:rsidRPr="002B3A2E" w:rsidSect="001321CA">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E5DC8" w14:textId="77777777" w:rsidR="00492D89" w:rsidRDefault="00492D89" w:rsidP="00084C9D">
      <w:r>
        <w:separator/>
      </w:r>
    </w:p>
  </w:endnote>
  <w:endnote w:type="continuationSeparator" w:id="0">
    <w:p w14:paraId="7EF2E360" w14:textId="77777777" w:rsidR="00492D89" w:rsidRDefault="00492D89" w:rsidP="0008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48085" w14:textId="77777777" w:rsidR="00492D89" w:rsidRDefault="00492D89" w:rsidP="00084C9D">
      <w:r>
        <w:separator/>
      </w:r>
    </w:p>
  </w:footnote>
  <w:footnote w:type="continuationSeparator" w:id="0">
    <w:p w14:paraId="07C579A5" w14:textId="77777777" w:rsidR="00492D89" w:rsidRDefault="00492D89" w:rsidP="00084C9D">
      <w:r>
        <w:continuationSeparator/>
      </w:r>
    </w:p>
  </w:footnote>
  <w:footnote w:id="1">
    <w:p w14:paraId="759F87D7" w14:textId="77777777" w:rsidR="002B3A2E" w:rsidRDefault="002B3A2E" w:rsidP="002B3A2E">
      <w:pPr>
        <w:pStyle w:val="FootnoteText"/>
      </w:pPr>
      <w:r>
        <w:rPr>
          <w:rStyle w:val="FootnoteReference"/>
        </w:rPr>
        <w:footnoteRef/>
      </w:r>
      <w:r>
        <w:t xml:space="preserve"> The IPA is a trade organization that serves as the leading voice of the electronic payments sector, including prepaid products, mobile wallets, and person-to-person (P2P) technology for consumers, </w:t>
      </w:r>
      <w:proofErr w:type="gramStart"/>
      <w:r>
        <w:t>businesses</w:t>
      </w:r>
      <w:proofErr w:type="gramEnd"/>
      <w:r>
        <w:t xml:space="preserve"> and governments at all levels. The IPA</w:t>
      </w:r>
      <w:r w:rsidRPr="00D324CD">
        <w:t>’</w:t>
      </w:r>
      <w:r>
        <w:t>s goal is to encourage efficient use of electronic payments, cultivate financial inclusion through educating and empowering consumers, represent the industry before legislative and regulatory bodies, and provide thought leadership. The comments made in this letter do not necessarily represent the position of all members of the IPA.</w:t>
      </w:r>
    </w:p>
  </w:footnote>
  <w:footnote w:id="2">
    <w:p w14:paraId="12918FE3" w14:textId="7E9BEF56" w:rsidR="008B4BAD" w:rsidRDefault="008B4BAD">
      <w:pPr>
        <w:pStyle w:val="FootnoteText"/>
      </w:pPr>
      <w:r>
        <w:rPr>
          <w:rStyle w:val="FootnoteReference"/>
        </w:rPr>
        <w:footnoteRef/>
      </w:r>
      <w:r>
        <w:t xml:space="preserve"> </w:t>
      </w:r>
      <w:r w:rsidR="0014130A">
        <w:t xml:space="preserve">See </w:t>
      </w:r>
      <w:r w:rsidR="0014130A" w:rsidRPr="0014130A">
        <w:t xml:space="preserve">IPA’s </w:t>
      </w:r>
      <w:r w:rsidR="0014130A">
        <w:t xml:space="preserve">April </w:t>
      </w:r>
      <w:r w:rsidR="006326DB">
        <w:t xml:space="preserve">2020 </w:t>
      </w:r>
      <w:r w:rsidR="0014130A" w:rsidRPr="0014130A">
        <w:t>letter urg</w:t>
      </w:r>
      <w:r w:rsidR="006326DB">
        <w:t>ing</w:t>
      </w:r>
      <w:r w:rsidR="0014130A" w:rsidRPr="0014130A">
        <w:t xml:space="preserve"> IRS to update its online portals</w:t>
      </w:r>
      <w:r w:rsidR="00444656">
        <w:t xml:space="preserve"> to</w:t>
      </w:r>
      <w:r w:rsidR="0014130A" w:rsidRPr="0014130A">
        <w:t xml:space="preserve"> clearly list prepaid cards as a viable option (alongside checking and savings accounts) </w:t>
      </w:r>
      <w:proofErr w:type="gramStart"/>
      <w:r w:rsidR="0014130A" w:rsidRPr="0014130A">
        <w:t>in regard to</w:t>
      </w:r>
      <w:proofErr w:type="gramEnd"/>
      <w:r w:rsidR="0014130A" w:rsidRPr="0014130A">
        <w:t xml:space="preserve"> receiving Economic Impact Payments.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962" w:type="dxa"/>
      <w:tblLook w:val="04A0" w:firstRow="1" w:lastRow="0" w:firstColumn="1" w:lastColumn="0" w:noHBand="0" w:noVBand="1"/>
    </w:tblPr>
    <w:tblGrid>
      <w:gridCol w:w="4428"/>
      <w:gridCol w:w="5556"/>
      <w:gridCol w:w="3978"/>
    </w:tblGrid>
    <w:tr w:rsidR="0015520D" w:rsidRPr="001D6404" w14:paraId="4565BCDA" w14:textId="77777777" w:rsidTr="0015520D">
      <w:tc>
        <w:tcPr>
          <w:tcW w:w="4758" w:type="dxa"/>
          <w:shd w:val="clear" w:color="auto" w:fill="auto"/>
        </w:tcPr>
        <w:p w14:paraId="2FEC32DB" w14:textId="1D837136" w:rsidR="0015520D" w:rsidRPr="001D6404" w:rsidRDefault="0015520D" w:rsidP="0015520D">
          <w:pPr>
            <w:tabs>
              <w:tab w:val="center" w:pos="4680"/>
              <w:tab w:val="right" w:pos="9360"/>
            </w:tabs>
            <w:jc w:val="both"/>
            <w:rPr>
              <w:rFonts w:eastAsia="Arial"/>
              <w:sz w:val="22"/>
              <w:szCs w:val="22"/>
            </w:rPr>
          </w:pPr>
          <w:r w:rsidRPr="003F146F">
            <w:rPr>
              <w:rFonts w:eastAsia="Calibri"/>
              <w:noProof/>
            </w:rPr>
            <w:drawing>
              <wp:inline distT="0" distB="0" distL="0" distR="0" wp14:anchorId="569AD7A4" wp14:editId="0D4FA32C">
                <wp:extent cx="1416050" cy="102050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787" cy="1046981"/>
                        </a:xfrm>
                        <a:prstGeom prst="rect">
                          <a:avLst/>
                        </a:prstGeom>
                        <a:noFill/>
                        <a:ln>
                          <a:noFill/>
                        </a:ln>
                      </pic:spPr>
                    </pic:pic>
                  </a:graphicData>
                </a:graphic>
              </wp:inline>
            </w:drawing>
          </w:r>
        </w:p>
      </w:tc>
      <w:tc>
        <w:tcPr>
          <w:tcW w:w="4602" w:type="dxa"/>
        </w:tcPr>
        <w:p w14:paraId="4E6E8CD4" w14:textId="77777777" w:rsidR="0015520D" w:rsidRPr="00E86A91" w:rsidRDefault="0015520D" w:rsidP="0015520D">
          <w:pPr>
            <w:tabs>
              <w:tab w:val="center" w:pos="4680"/>
              <w:tab w:val="right" w:pos="9360"/>
            </w:tabs>
            <w:spacing w:line="288" w:lineRule="auto"/>
            <w:jc w:val="right"/>
            <w:rPr>
              <w:rFonts w:ascii="Times New Roman" w:eastAsia="Arial" w:hAnsi="Times New Roman"/>
              <w:b/>
            </w:rPr>
          </w:pPr>
          <w:r w:rsidRPr="00E86A91">
            <w:rPr>
              <w:rFonts w:ascii="Times New Roman" w:eastAsia="Arial" w:hAnsi="Times New Roman"/>
              <w:b/>
            </w:rPr>
            <w:t xml:space="preserve">Innovative Payments Association </w:t>
          </w:r>
        </w:p>
        <w:p w14:paraId="021D9173" w14:textId="77777777" w:rsidR="0015520D" w:rsidRPr="00E86A91" w:rsidRDefault="0015520D" w:rsidP="0015520D">
          <w:pPr>
            <w:tabs>
              <w:tab w:val="center" w:pos="4680"/>
              <w:tab w:val="right" w:pos="9360"/>
            </w:tabs>
            <w:spacing w:line="288" w:lineRule="auto"/>
            <w:jc w:val="right"/>
            <w:rPr>
              <w:rFonts w:ascii="Times New Roman" w:eastAsia="Arial" w:hAnsi="Times New Roman"/>
            </w:rPr>
          </w:pPr>
          <w:r w:rsidRPr="00E86A91">
            <w:rPr>
              <w:rFonts w:ascii="Times New Roman" w:eastAsia="Arial" w:hAnsi="Times New Roman"/>
            </w:rPr>
            <w:t>777 6th Street, 11th Floor</w:t>
          </w:r>
        </w:p>
        <w:p w14:paraId="43619E47" w14:textId="77777777" w:rsidR="0015520D" w:rsidRPr="00E86A91" w:rsidRDefault="0015520D" w:rsidP="0015520D">
          <w:pPr>
            <w:tabs>
              <w:tab w:val="center" w:pos="4680"/>
              <w:tab w:val="right" w:pos="9360"/>
            </w:tabs>
            <w:spacing w:line="288" w:lineRule="auto"/>
            <w:jc w:val="right"/>
            <w:rPr>
              <w:rFonts w:ascii="Times New Roman" w:eastAsia="Arial" w:hAnsi="Times New Roman"/>
            </w:rPr>
          </w:pPr>
          <w:r w:rsidRPr="00E86A91">
            <w:rPr>
              <w:rFonts w:ascii="Times New Roman" w:eastAsia="Arial" w:hAnsi="Times New Roman"/>
            </w:rPr>
            <w:t>Washington, DC 20001</w:t>
          </w:r>
        </w:p>
        <w:p w14:paraId="2C765D40" w14:textId="48C07AF6" w:rsidR="0015520D" w:rsidRPr="001D6404" w:rsidRDefault="0015520D" w:rsidP="0015520D">
          <w:pPr>
            <w:tabs>
              <w:tab w:val="center" w:pos="4680"/>
              <w:tab w:val="right" w:pos="9360"/>
            </w:tabs>
            <w:jc w:val="both"/>
            <w:rPr>
              <w:rFonts w:eastAsia="Arial"/>
              <w:sz w:val="22"/>
              <w:szCs w:val="22"/>
            </w:rPr>
          </w:pPr>
          <w:r w:rsidRPr="00E86A91">
            <w:rPr>
              <w:rFonts w:ascii="Times New Roman" w:eastAsia="Arial" w:hAnsi="Times New Roman"/>
            </w:rPr>
            <w:tab/>
            <w:t>202.548.7200</w:t>
          </w:r>
        </w:p>
      </w:tc>
      <w:tc>
        <w:tcPr>
          <w:tcW w:w="4602" w:type="dxa"/>
          <w:shd w:val="clear" w:color="auto" w:fill="auto"/>
        </w:tcPr>
        <w:p w14:paraId="4FB09C37" w14:textId="67185B60" w:rsidR="0015520D" w:rsidRPr="001D6404" w:rsidRDefault="0015520D" w:rsidP="0015520D">
          <w:pPr>
            <w:tabs>
              <w:tab w:val="center" w:pos="4680"/>
              <w:tab w:val="right" w:pos="9360"/>
            </w:tabs>
            <w:jc w:val="both"/>
            <w:rPr>
              <w:rFonts w:eastAsia="Arial"/>
              <w:sz w:val="22"/>
              <w:szCs w:val="22"/>
            </w:rPr>
          </w:pPr>
        </w:p>
      </w:tc>
    </w:tr>
    <w:tr w:rsidR="0015520D" w:rsidRPr="001D6404" w14:paraId="3D82FBD8" w14:textId="77777777" w:rsidTr="0015520D">
      <w:tc>
        <w:tcPr>
          <w:tcW w:w="4758" w:type="dxa"/>
          <w:shd w:val="clear" w:color="auto" w:fill="auto"/>
        </w:tcPr>
        <w:p w14:paraId="6B0ACCFC" w14:textId="77777777" w:rsidR="0015520D" w:rsidRPr="001D6404" w:rsidRDefault="0015520D" w:rsidP="0015520D">
          <w:pPr>
            <w:tabs>
              <w:tab w:val="center" w:pos="4680"/>
              <w:tab w:val="right" w:pos="9360"/>
            </w:tabs>
            <w:jc w:val="both"/>
            <w:rPr>
              <w:noProof/>
              <w:lang w:eastAsia="zh-TW"/>
            </w:rPr>
          </w:pPr>
        </w:p>
      </w:tc>
      <w:tc>
        <w:tcPr>
          <w:tcW w:w="4602" w:type="dxa"/>
        </w:tcPr>
        <w:p w14:paraId="7181E4F8" w14:textId="77777777" w:rsidR="0015520D" w:rsidRPr="001D6404" w:rsidRDefault="0015520D" w:rsidP="0015520D">
          <w:pPr>
            <w:tabs>
              <w:tab w:val="center" w:pos="4680"/>
              <w:tab w:val="right" w:pos="9360"/>
            </w:tabs>
            <w:spacing w:line="288" w:lineRule="auto"/>
            <w:rPr>
              <w:rFonts w:eastAsia="Arial"/>
              <w:b/>
              <w:sz w:val="22"/>
              <w:szCs w:val="22"/>
            </w:rPr>
          </w:pPr>
        </w:p>
      </w:tc>
      <w:tc>
        <w:tcPr>
          <w:tcW w:w="4602" w:type="dxa"/>
          <w:shd w:val="clear" w:color="auto" w:fill="auto"/>
        </w:tcPr>
        <w:p w14:paraId="1866DEED" w14:textId="53E41EE4" w:rsidR="0015520D" w:rsidRPr="001D6404" w:rsidRDefault="0015520D" w:rsidP="0015520D">
          <w:pPr>
            <w:tabs>
              <w:tab w:val="center" w:pos="4680"/>
              <w:tab w:val="right" w:pos="9360"/>
            </w:tabs>
            <w:spacing w:line="288" w:lineRule="auto"/>
            <w:jc w:val="right"/>
            <w:rPr>
              <w:rFonts w:eastAsia="Arial"/>
              <w:b/>
              <w:sz w:val="22"/>
              <w:szCs w:val="22"/>
            </w:rPr>
          </w:pPr>
        </w:p>
      </w:tc>
    </w:tr>
  </w:tbl>
  <w:p w14:paraId="65046DD3" w14:textId="77777777" w:rsidR="001D6404" w:rsidRDefault="00834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4640F"/>
    <w:multiLevelType w:val="multilevel"/>
    <w:tmpl w:val="D30294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1"/>
    <w:docVar w:name="MPDocID" w:val="DOCS/2025251.3"/>
    <w:docVar w:name="MPDocIDTemplate" w:val="%l/|%n|.%v|"/>
    <w:docVar w:name="MPDocIDTemplateDefault" w:val="%l/|%n|.%v|"/>
    <w:docVar w:name="NewDocStampType" w:val="2"/>
    <w:docVar w:name="zzmpFixed_MacPacVersion" w:val="9.0"/>
  </w:docVars>
  <w:rsids>
    <w:rsidRoot w:val="00D00A77"/>
    <w:rsid w:val="00027141"/>
    <w:rsid w:val="00084C9D"/>
    <w:rsid w:val="00087CB5"/>
    <w:rsid w:val="000A17B8"/>
    <w:rsid w:val="000A6293"/>
    <w:rsid w:val="000B61E2"/>
    <w:rsid w:val="000F7D92"/>
    <w:rsid w:val="00113AA3"/>
    <w:rsid w:val="00115596"/>
    <w:rsid w:val="001222EF"/>
    <w:rsid w:val="001321CA"/>
    <w:rsid w:val="00134964"/>
    <w:rsid w:val="0014130A"/>
    <w:rsid w:val="0014290E"/>
    <w:rsid w:val="00153163"/>
    <w:rsid w:val="0015520D"/>
    <w:rsid w:val="00162D2A"/>
    <w:rsid w:val="00171897"/>
    <w:rsid w:val="00190F76"/>
    <w:rsid w:val="00196AC3"/>
    <w:rsid w:val="001A487E"/>
    <w:rsid w:val="001C7AAB"/>
    <w:rsid w:val="001D4965"/>
    <w:rsid w:val="001F06A9"/>
    <w:rsid w:val="00231A2D"/>
    <w:rsid w:val="002666F8"/>
    <w:rsid w:val="002710C8"/>
    <w:rsid w:val="00272709"/>
    <w:rsid w:val="002B2679"/>
    <w:rsid w:val="002B3A2E"/>
    <w:rsid w:val="002B6360"/>
    <w:rsid w:val="002D6564"/>
    <w:rsid w:val="002E1ABB"/>
    <w:rsid w:val="002F039E"/>
    <w:rsid w:val="00305507"/>
    <w:rsid w:val="00314CF9"/>
    <w:rsid w:val="00316749"/>
    <w:rsid w:val="00323191"/>
    <w:rsid w:val="003246CC"/>
    <w:rsid w:val="003752D6"/>
    <w:rsid w:val="00376FAF"/>
    <w:rsid w:val="00391CA9"/>
    <w:rsid w:val="00401C0E"/>
    <w:rsid w:val="004260F9"/>
    <w:rsid w:val="00444656"/>
    <w:rsid w:val="00455A3E"/>
    <w:rsid w:val="004570D9"/>
    <w:rsid w:val="00492D89"/>
    <w:rsid w:val="0049411D"/>
    <w:rsid w:val="004A5AF2"/>
    <w:rsid w:val="004C56F9"/>
    <w:rsid w:val="004D184F"/>
    <w:rsid w:val="00504D90"/>
    <w:rsid w:val="00536149"/>
    <w:rsid w:val="005B1B79"/>
    <w:rsid w:val="005D28B6"/>
    <w:rsid w:val="005E08BE"/>
    <w:rsid w:val="006326DB"/>
    <w:rsid w:val="00670A90"/>
    <w:rsid w:val="006C3027"/>
    <w:rsid w:val="006C5991"/>
    <w:rsid w:val="006D782B"/>
    <w:rsid w:val="006F275D"/>
    <w:rsid w:val="00741FC2"/>
    <w:rsid w:val="007D05EB"/>
    <w:rsid w:val="007D0977"/>
    <w:rsid w:val="007D33A1"/>
    <w:rsid w:val="00805620"/>
    <w:rsid w:val="00834973"/>
    <w:rsid w:val="0087559E"/>
    <w:rsid w:val="00882694"/>
    <w:rsid w:val="008B4BAD"/>
    <w:rsid w:val="008E43AD"/>
    <w:rsid w:val="008E7C13"/>
    <w:rsid w:val="008F05DB"/>
    <w:rsid w:val="00922DA9"/>
    <w:rsid w:val="00964056"/>
    <w:rsid w:val="0098696D"/>
    <w:rsid w:val="009C3ED9"/>
    <w:rsid w:val="00A16A66"/>
    <w:rsid w:val="00A40FCE"/>
    <w:rsid w:val="00A5736D"/>
    <w:rsid w:val="00A80B35"/>
    <w:rsid w:val="00A974F6"/>
    <w:rsid w:val="00AD2628"/>
    <w:rsid w:val="00B16AB9"/>
    <w:rsid w:val="00BA417A"/>
    <w:rsid w:val="00BB7642"/>
    <w:rsid w:val="00BE362A"/>
    <w:rsid w:val="00C14D1E"/>
    <w:rsid w:val="00C429A5"/>
    <w:rsid w:val="00C97C88"/>
    <w:rsid w:val="00CD70E2"/>
    <w:rsid w:val="00CF7FFD"/>
    <w:rsid w:val="00D00A77"/>
    <w:rsid w:val="00D14753"/>
    <w:rsid w:val="00D15ADD"/>
    <w:rsid w:val="00D411B8"/>
    <w:rsid w:val="00D64CAD"/>
    <w:rsid w:val="00D904CC"/>
    <w:rsid w:val="00D95DAE"/>
    <w:rsid w:val="00DA7F85"/>
    <w:rsid w:val="00DB1449"/>
    <w:rsid w:val="00DB28F5"/>
    <w:rsid w:val="00DC0EF7"/>
    <w:rsid w:val="00DF1EC4"/>
    <w:rsid w:val="00DF5DDD"/>
    <w:rsid w:val="00E03FBE"/>
    <w:rsid w:val="00E532E5"/>
    <w:rsid w:val="00E83FF5"/>
    <w:rsid w:val="00E87DEC"/>
    <w:rsid w:val="00ED2245"/>
    <w:rsid w:val="00EE1BDB"/>
    <w:rsid w:val="00EF3BD1"/>
    <w:rsid w:val="00EF7EAF"/>
    <w:rsid w:val="00F11812"/>
    <w:rsid w:val="00F44363"/>
    <w:rsid w:val="00F53202"/>
    <w:rsid w:val="00F745CB"/>
    <w:rsid w:val="00FB4ABB"/>
    <w:rsid w:val="00FC3020"/>
    <w:rsid w:val="00FD6AA3"/>
    <w:rsid w:val="00FD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A734D5"/>
  <w15:docId w15:val="{7FE44EE6-3EBE-4DC1-97F4-065F6D4A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CA9"/>
    <w:pPr>
      <w:spacing w:after="0" w:line="240" w:lineRule="auto"/>
    </w:pPr>
    <w:rPr>
      <w:rFonts w:cs="Times New Roman"/>
    </w:rPr>
  </w:style>
  <w:style w:type="paragraph" w:styleId="Heading1">
    <w:name w:val="heading 1"/>
    <w:basedOn w:val="Normal"/>
    <w:next w:val="Normal"/>
    <w:link w:val="Heading1Char"/>
    <w:uiPriority w:val="9"/>
    <w:qFormat/>
    <w:rsid w:val="00DB1449"/>
    <w:pPr>
      <w:keepNext/>
      <w:keepLines/>
      <w:spacing w:before="48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semiHidden/>
    <w:unhideWhenUsed/>
    <w:qFormat/>
    <w:rsid w:val="00DB1449"/>
    <w:pPr>
      <w:keepNext/>
      <w:keepLines/>
      <w:spacing w:before="200"/>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1ABB"/>
    <w:pPr>
      <w:widowControl w:val="0"/>
      <w:spacing w:after="240"/>
      <w:ind w:firstLine="720"/>
    </w:pPr>
  </w:style>
  <w:style w:type="character" w:customStyle="1" w:styleId="BodyTextChar">
    <w:name w:val="Body Text Char"/>
    <w:basedOn w:val="DefaultParagraphFont"/>
    <w:link w:val="BodyText"/>
    <w:rsid w:val="002710C8"/>
    <w:rPr>
      <w:rFonts w:ascii="Times New Roman" w:hAnsi="Times New Roman" w:cs="Times New Roman"/>
    </w:rPr>
  </w:style>
  <w:style w:type="paragraph" w:customStyle="1" w:styleId="BodyTextContinued">
    <w:name w:val="Body Text Continued"/>
    <w:basedOn w:val="BodyText"/>
    <w:next w:val="BodyText"/>
    <w:rsid w:val="002E1ABB"/>
    <w:pPr>
      <w:ind w:firstLine="0"/>
    </w:pPr>
    <w:rPr>
      <w:szCs w:val="20"/>
    </w:rPr>
  </w:style>
  <w:style w:type="paragraph" w:styleId="Quote">
    <w:name w:val="Quote"/>
    <w:basedOn w:val="Normal"/>
    <w:next w:val="BodyTextContinued"/>
    <w:link w:val="QuoteChar"/>
    <w:qFormat/>
    <w:rsid w:val="002E1ABB"/>
    <w:pPr>
      <w:spacing w:after="240"/>
      <w:ind w:left="1440" w:right="1440"/>
    </w:pPr>
    <w:rPr>
      <w:szCs w:val="20"/>
    </w:rPr>
  </w:style>
  <w:style w:type="character" w:customStyle="1" w:styleId="QuoteChar">
    <w:name w:val="Quote Char"/>
    <w:basedOn w:val="DefaultParagraphFont"/>
    <w:link w:val="Quote"/>
    <w:rsid w:val="002710C8"/>
    <w:rPr>
      <w:rFonts w:ascii="Times New Roman" w:hAnsi="Times New Roman" w:cs="Times New Roman"/>
      <w:szCs w:val="20"/>
    </w:rPr>
  </w:style>
  <w:style w:type="paragraph" w:styleId="Header">
    <w:name w:val="header"/>
    <w:basedOn w:val="Normal"/>
    <w:link w:val="HeaderChar"/>
    <w:rsid w:val="002E1ABB"/>
    <w:pPr>
      <w:tabs>
        <w:tab w:val="center" w:pos="4680"/>
        <w:tab w:val="right" w:pos="9360"/>
      </w:tabs>
    </w:pPr>
  </w:style>
  <w:style w:type="character" w:customStyle="1" w:styleId="HeaderChar">
    <w:name w:val="Header Char"/>
    <w:basedOn w:val="DefaultParagraphFont"/>
    <w:link w:val="Header"/>
    <w:rsid w:val="002710C8"/>
    <w:rPr>
      <w:rFonts w:ascii="Times New Roman" w:hAnsi="Times New Roman" w:cs="Times New Roman"/>
    </w:rPr>
  </w:style>
  <w:style w:type="paragraph" w:styleId="Footer">
    <w:name w:val="footer"/>
    <w:basedOn w:val="Normal"/>
    <w:link w:val="FooterChar"/>
    <w:rsid w:val="002E1ABB"/>
    <w:pPr>
      <w:tabs>
        <w:tab w:val="center" w:pos="4680"/>
        <w:tab w:val="right" w:pos="9360"/>
      </w:tabs>
    </w:pPr>
  </w:style>
  <w:style w:type="character" w:customStyle="1" w:styleId="FooterChar">
    <w:name w:val="Footer Char"/>
    <w:basedOn w:val="DefaultParagraphFont"/>
    <w:link w:val="Footer"/>
    <w:rsid w:val="002710C8"/>
    <w:rPr>
      <w:rFonts w:ascii="Times New Roman" w:hAnsi="Times New Roman" w:cs="Times New Roman"/>
    </w:rPr>
  </w:style>
  <w:style w:type="character" w:styleId="PageNumber">
    <w:name w:val="page number"/>
    <w:basedOn w:val="DefaultParagraphFont"/>
    <w:rsid w:val="002E1ABB"/>
  </w:style>
  <w:style w:type="character" w:customStyle="1" w:styleId="Heading1Char">
    <w:name w:val="Heading 1 Char"/>
    <w:basedOn w:val="DefaultParagraphFont"/>
    <w:link w:val="Heading1"/>
    <w:uiPriority w:val="9"/>
    <w:rsid w:val="00DB1449"/>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semiHidden/>
    <w:rsid w:val="00DB1449"/>
    <w:rPr>
      <w:rFonts w:eastAsiaTheme="majorEastAsia" w:cstheme="majorBidi"/>
      <w:b/>
      <w:bCs/>
      <w:color w:val="000000" w:themeColor="text1"/>
      <w:szCs w:val="26"/>
      <w:u w:val="single"/>
    </w:rPr>
  </w:style>
  <w:style w:type="paragraph" w:styleId="Title">
    <w:name w:val="Title"/>
    <w:basedOn w:val="Normal"/>
    <w:next w:val="Normal"/>
    <w:link w:val="TitleChar"/>
    <w:uiPriority w:val="10"/>
    <w:qFormat/>
    <w:rsid w:val="00DB1449"/>
    <w:pPr>
      <w:pBdr>
        <w:bottom w:val="single" w:sz="8" w:space="4" w:color="auto"/>
      </w:pBdr>
      <w:spacing w:after="240"/>
      <w:contextualSpacing/>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DB1449"/>
    <w:rPr>
      <w:rFonts w:eastAsiaTheme="majorEastAsia" w:cstheme="majorBidi"/>
      <w:spacing w:val="5"/>
      <w:kern w:val="28"/>
      <w:sz w:val="28"/>
      <w:szCs w:val="52"/>
    </w:rPr>
  </w:style>
  <w:style w:type="paragraph" w:styleId="Subtitle">
    <w:name w:val="Subtitle"/>
    <w:basedOn w:val="Normal"/>
    <w:next w:val="Normal"/>
    <w:link w:val="SubtitleChar"/>
    <w:uiPriority w:val="11"/>
    <w:qFormat/>
    <w:rsid w:val="00DB1449"/>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DB1449"/>
    <w:rPr>
      <w:rFonts w:eastAsiaTheme="majorEastAsia" w:cstheme="majorBidi"/>
      <w:i/>
      <w:iCs/>
      <w:spacing w:val="15"/>
    </w:rPr>
  </w:style>
  <w:style w:type="character" w:styleId="SubtleEmphasis">
    <w:name w:val="Subtle Emphasis"/>
    <w:basedOn w:val="DefaultParagraphFont"/>
    <w:uiPriority w:val="19"/>
    <w:qFormat/>
    <w:rsid w:val="00DB1449"/>
    <w:rPr>
      <w:i/>
      <w:iCs/>
      <w:color w:val="808080" w:themeColor="text1" w:themeTint="7F"/>
    </w:rPr>
  </w:style>
  <w:style w:type="character" w:styleId="Emphasis">
    <w:name w:val="Emphasis"/>
    <w:basedOn w:val="DefaultParagraphFont"/>
    <w:uiPriority w:val="20"/>
    <w:qFormat/>
    <w:rsid w:val="00DB1449"/>
    <w:rPr>
      <w:i/>
      <w:iCs/>
    </w:rPr>
  </w:style>
  <w:style w:type="character" w:styleId="Strong">
    <w:name w:val="Strong"/>
    <w:basedOn w:val="DefaultParagraphFont"/>
    <w:uiPriority w:val="22"/>
    <w:qFormat/>
    <w:rsid w:val="00DB1449"/>
    <w:rPr>
      <w:b/>
      <w:bCs/>
    </w:rPr>
  </w:style>
  <w:style w:type="paragraph" w:styleId="IntenseQuote">
    <w:name w:val="Intense Quote"/>
    <w:basedOn w:val="Normal"/>
    <w:next w:val="Normal"/>
    <w:link w:val="IntenseQuoteChar"/>
    <w:uiPriority w:val="30"/>
    <w:qFormat/>
    <w:rsid w:val="00DB144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DB1449"/>
    <w:rPr>
      <w:rFonts w:cs="Times New Roman"/>
      <w:b/>
      <w:bCs/>
      <w:i/>
      <w:iCs/>
    </w:rPr>
  </w:style>
  <w:style w:type="character" w:styleId="SubtleReference">
    <w:name w:val="Subtle Reference"/>
    <w:basedOn w:val="DefaultParagraphFont"/>
    <w:uiPriority w:val="31"/>
    <w:qFormat/>
    <w:rsid w:val="00DB1449"/>
    <w:rPr>
      <w:smallCaps/>
      <w:color w:val="7F7F7F" w:themeColor="text1" w:themeTint="80"/>
      <w:u w:val="single"/>
    </w:rPr>
  </w:style>
  <w:style w:type="character" w:styleId="IntenseReference">
    <w:name w:val="Intense Reference"/>
    <w:basedOn w:val="DefaultParagraphFont"/>
    <w:uiPriority w:val="32"/>
    <w:qFormat/>
    <w:rsid w:val="00DB1449"/>
    <w:rPr>
      <w:b/>
      <w:bCs/>
      <w:smallCaps/>
      <w:color w:val="7F7F7F" w:themeColor="text1" w:themeTint="80"/>
      <w:spacing w:val="5"/>
      <w:u w:val="single"/>
    </w:rPr>
  </w:style>
  <w:style w:type="character" w:styleId="BookTitle">
    <w:name w:val="Book Title"/>
    <w:basedOn w:val="DefaultParagraphFont"/>
    <w:uiPriority w:val="33"/>
    <w:qFormat/>
    <w:rsid w:val="00DB1449"/>
    <w:rPr>
      <w:b/>
      <w:bCs/>
      <w:smallCaps/>
      <w:spacing w:val="5"/>
    </w:rPr>
  </w:style>
  <w:style w:type="character" w:styleId="IntenseEmphasis">
    <w:name w:val="Intense Emphasis"/>
    <w:basedOn w:val="DefaultParagraphFont"/>
    <w:uiPriority w:val="21"/>
    <w:qFormat/>
    <w:rsid w:val="001F06A9"/>
    <w:rPr>
      <w:b/>
      <w:bCs/>
      <w:i/>
      <w:iCs/>
      <w:color w:val="auto"/>
    </w:rPr>
  </w:style>
  <w:style w:type="paragraph" w:styleId="FootnoteText">
    <w:name w:val="footnote text"/>
    <w:basedOn w:val="Normal"/>
    <w:link w:val="FootnoteTextChar"/>
    <w:uiPriority w:val="99"/>
    <w:semiHidden/>
    <w:unhideWhenUsed/>
    <w:rsid w:val="00084C9D"/>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084C9D"/>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084C9D"/>
    <w:rPr>
      <w:vertAlign w:val="superscript"/>
    </w:rPr>
  </w:style>
  <w:style w:type="paragraph" w:styleId="BalloonText">
    <w:name w:val="Balloon Text"/>
    <w:basedOn w:val="Normal"/>
    <w:link w:val="BalloonTextChar"/>
    <w:uiPriority w:val="99"/>
    <w:semiHidden/>
    <w:unhideWhenUsed/>
    <w:rsid w:val="00084C9D"/>
    <w:rPr>
      <w:rFonts w:ascii="Tahoma" w:hAnsi="Tahoma" w:cs="Tahoma"/>
      <w:sz w:val="16"/>
      <w:szCs w:val="16"/>
    </w:rPr>
  </w:style>
  <w:style w:type="character" w:customStyle="1" w:styleId="BalloonTextChar">
    <w:name w:val="Balloon Text Char"/>
    <w:basedOn w:val="DefaultParagraphFont"/>
    <w:link w:val="BalloonText"/>
    <w:uiPriority w:val="99"/>
    <w:semiHidden/>
    <w:rsid w:val="00084C9D"/>
    <w:rPr>
      <w:rFonts w:ascii="Tahoma" w:hAnsi="Tahoma" w:cs="Tahoma"/>
      <w:sz w:val="16"/>
      <w:szCs w:val="16"/>
    </w:rPr>
  </w:style>
  <w:style w:type="character" w:customStyle="1" w:styleId="zzmpTrailerItem">
    <w:name w:val="zzmpTrailerItem"/>
    <w:rsid w:val="00231A2D"/>
    <w:rPr>
      <w:rFonts w:ascii="Arial" w:hAnsi="Arial" w:cs="Arial"/>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391CA9"/>
    <w:rPr>
      <w:sz w:val="16"/>
      <w:szCs w:val="16"/>
    </w:rPr>
  </w:style>
  <w:style w:type="paragraph" w:styleId="CommentText">
    <w:name w:val="annotation text"/>
    <w:basedOn w:val="Normal"/>
    <w:link w:val="CommentTextChar"/>
    <w:uiPriority w:val="99"/>
    <w:semiHidden/>
    <w:unhideWhenUsed/>
    <w:rsid w:val="00391CA9"/>
    <w:rPr>
      <w:sz w:val="20"/>
      <w:szCs w:val="20"/>
    </w:rPr>
  </w:style>
  <w:style w:type="character" w:customStyle="1" w:styleId="CommentTextChar">
    <w:name w:val="Comment Text Char"/>
    <w:basedOn w:val="DefaultParagraphFont"/>
    <w:link w:val="CommentText"/>
    <w:uiPriority w:val="99"/>
    <w:semiHidden/>
    <w:rsid w:val="00391CA9"/>
    <w:rPr>
      <w:rFonts w:cs="Times New Roman"/>
      <w:sz w:val="20"/>
      <w:szCs w:val="20"/>
    </w:rPr>
  </w:style>
  <w:style w:type="character" w:styleId="Hyperlink">
    <w:name w:val="Hyperlink"/>
    <w:basedOn w:val="DefaultParagraphFont"/>
    <w:uiPriority w:val="99"/>
    <w:unhideWhenUsed/>
    <w:rsid w:val="00171897"/>
    <w:rPr>
      <w:color w:val="0000FF" w:themeColor="hyperlink"/>
      <w:u w:val="single"/>
    </w:rPr>
  </w:style>
  <w:style w:type="character" w:styleId="UnresolvedMention">
    <w:name w:val="Unresolved Mention"/>
    <w:basedOn w:val="DefaultParagraphFont"/>
    <w:uiPriority w:val="99"/>
    <w:semiHidden/>
    <w:unhideWhenUsed/>
    <w:rsid w:val="00504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948663">
      <w:bodyDiv w:val="1"/>
      <w:marLeft w:val="0"/>
      <w:marRight w:val="0"/>
      <w:marTop w:val="0"/>
      <w:marBottom w:val="0"/>
      <w:divBdr>
        <w:top w:val="none" w:sz="0" w:space="0" w:color="auto"/>
        <w:left w:val="none" w:sz="0" w:space="0" w:color="auto"/>
        <w:bottom w:val="none" w:sz="0" w:space="0" w:color="auto"/>
        <w:right w:val="none" w:sz="0" w:space="0" w:color="auto"/>
      </w:divBdr>
    </w:div>
    <w:div w:id="1146241421">
      <w:bodyDiv w:val="1"/>
      <w:marLeft w:val="0"/>
      <w:marRight w:val="0"/>
      <w:marTop w:val="0"/>
      <w:marBottom w:val="0"/>
      <w:divBdr>
        <w:top w:val="none" w:sz="0" w:space="0" w:color="auto"/>
        <w:left w:val="none" w:sz="0" w:space="0" w:color="auto"/>
        <w:bottom w:val="none" w:sz="0" w:space="0" w:color="auto"/>
        <w:right w:val="none" w:sz="0" w:space="0" w:color="auto"/>
      </w:divBdr>
    </w:div>
    <w:div w:id="161154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irectexpres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www.irs.gov_coronavirus_get-2Dmy-2Dpayment&amp;d=DwMGaQ&amp;c=4JOzdpIlQcN5fHQL_PMhCQ&amp;r=PpMj5_wsh5Q_yDq9rpMx8JOyrpBQE5jrBN94CH81sbA&amp;m=TyGkuaIZGKOQRQ-Pq08Z4wmXHZOMObw9_V-bN7VPOIY&amp;s=pFSBlx_Fs2LFdxrIZP-FMVdZghXEnzVY57EskveiJ88&am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ldefense.proofpoint.com/v2/url?u=https-3A__www.irs.gov_coronavirus_non-2Dfilers-2Denter-2Dpayment-2Dinfo-2Dhere&amp;d=DwMGaQ&amp;c=4JOzdpIlQcN5fHQL_PMhCQ&amp;r=PpMj5_wsh5Q_yDq9rpMx8JOyrpBQE5jrBN94CH81sbA&amp;m=TyGkuaIZGKOQRQ-Pq08Z4wmXHZOMObw9_V-bN7VPOIY&amp;s=D617q_NTFcdHBI_mMgCmzIn08jCeChvwtxOzNEC9ym0&amp;e=" TargetMode="External"/><Relationship Id="rId4" Type="http://schemas.openxmlformats.org/officeDocument/2006/relationships/settings" Target="settings.xml"/><Relationship Id="rId9" Type="http://schemas.openxmlformats.org/officeDocument/2006/relationships/hyperlink" Target="https://fiscal.treasury.gov/us-debit-car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Local\Microsoft\Windows\INetCache\Content.Outlook\C6HWWPST\BT%20Edit%20%232025251%20v3%20NBPCA%20Letter%20to%20Nebraska%20Legislature%20-%20Revenue%20Committee%20Regarding%20Money%20Transmitter%20Fee%20Bill%20(2.18.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45BCF-180B-4C61-8EBC-59DCEBE2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 Edit #2025251 v3 NBPCA Letter to Nebraska Legislature - Revenue Committee Regarding Money Transmitter Fee Bill (2.18.18)</Template>
  <TotalTime>1</TotalTime>
  <Pages>2</Pages>
  <Words>437</Words>
  <Characters>2492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Tate</dc:creator>
  <cp:keywords/>
  <dc:description/>
  <cp:lastModifiedBy>B Tate</cp:lastModifiedBy>
  <cp:revision>2</cp:revision>
  <cp:lastPrinted>2018-02-20T14:32:00Z</cp:lastPrinted>
  <dcterms:created xsi:type="dcterms:W3CDTF">2020-07-20T13:05:00Z</dcterms:created>
  <dcterms:modified xsi:type="dcterms:W3CDTF">2020-07-20T13:05:00Z</dcterms:modified>
</cp:coreProperties>
</file>